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6E3" w:rsidRPr="006A3052" w:rsidRDefault="009066E3" w:rsidP="009066E3">
      <w:pPr>
        <w:widowControl/>
        <w:overflowPunct w:val="0"/>
        <w:autoSpaceDE w:val="0"/>
        <w:autoSpaceDN w:val="0"/>
        <w:adjustRightInd w:val="0"/>
        <w:spacing w:before="80" w:after="80"/>
        <w:jc w:val="left"/>
        <w:textAlignment w:val="baseline"/>
        <w:rPr>
          <w:rFonts w:ascii="Arial" w:eastAsia="宋体" w:hAnsi="Arial" w:cs="Arial"/>
          <w:b/>
          <w:bCs/>
          <w:kern w:val="0"/>
          <w:sz w:val="24"/>
          <w:szCs w:val="24"/>
          <w:lang w:val="en-GB"/>
        </w:rPr>
      </w:pPr>
      <w:bookmarkStart w:id="0" w:name="Title"/>
      <w:bookmarkStart w:id="1" w:name="OLE_LINK1"/>
      <w:bookmarkEnd w:id="0"/>
      <w:r w:rsidRPr="006A3052">
        <w:rPr>
          <w:rFonts w:ascii="Arial" w:eastAsia="宋体" w:hAnsi="Arial" w:cs="Arial"/>
          <w:b/>
          <w:bCs/>
          <w:kern w:val="0"/>
          <w:sz w:val="24"/>
          <w:szCs w:val="24"/>
          <w:lang w:val="en-GB"/>
        </w:rPr>
        <w:t xml:space="preserve">3GPP TSG-RAN WG4 Meeting # 104-e    </w:t>
      </w:r>
      <w:r w:rsidR="00D23DD1">
        <w:rPr>
          <w:rFonts w:ascii="Arial" w:eastAsia="宋体" w:hAnsi="Arial" w:cs="Arial"/>
          <w:b/>
          <w:bCs/>
          <w:kern w:val="0"/>
          <w:sz w:val="24"/>
          <w:szCs w:val="24"/>
          <w:lang w:val="en-GB"/>
        </w:rPr>
        <w:t xml:space="preserve">                             </w:t>
      </w:r>
      <w:r w:rsidR="00D23DD1" w:rsidRPr="00D23DD1">
        <w:rPr>
          <w:rFonts w:ascii="Arial" w:eastAsia="宋体" w:hAnsi="Arial" w:cs="Arial"/>
          <w:b/>
          <w:bCs/>
          <w:kern w:val="0"/>
          <w:sz w:val="24"/>
          <w:szCs w:val="24"/>
          <w:lang w:val="en-GB"/>
        </w:rPr>
        <w:t>R4-2212614</w:t>
      </w:r>
    </w:p>
    <w:p w:rsidR="009066E3" w:rsidRPr="006A3052" w:rsidRDefault="009066E3" w:rsidP="009066E3">
      <w:pPr>
        <w:widowControl/>
        <w:overflowPunct w:val="0"/>
        <w:autoSpaceDE w:val="0"/>
        <w:autoSpaceDN w:val="0"/>
        <w:adjustRightInd w:val="0"/>
        <w:spacing w:before="80" w:after="80"/>
        <w:ind w:left="1979" w:hanging="1979"/>
        <w:jc w:val="left"/>
        <w:textAlignment w:val="baseline"/>
        <w:rPr>
          <w:rFonts w:ascii="Arial" w:eastAsia="宋体" w:hAnsi="Arial" w:cs="Arial"/>
          <w:b/>
          <w:bCs/>
          <w:kern w:val="0"/>
          <w:sz w:val="24"/>
          <w:szCs w:val="24"/>
          <w:lang w:val="en-GB"/>
        </w:rPr>
      </w:pPr>
      <w:r w:rsidRPr="006A3052">
        <w:rPr>
          <w:rFonts w:ascii="Arial" w:eastAsia="宋体" w:hAnsi="Arial" w:cs="Arial"/>
          <w:b/>
          <w:bCs/>
          <w:kern w:val="0"/>
          <w:sz w:val="24"/>
          <w:szCs w:val="24"/>
          <w:lang w:val="en-GB"/>
        </w:rPr>
        <w:t>Electronic Meeting, August 15 – August 26, 2022</w:t>
      </w:r>
    </w:p>
    <w:p w:rsidR="009066E3" w:rsidRPr="00D23DD1" w:rsidRDefault="009066E3" w:rsidP="00D23DD1">
      <w:pPr>
        <w:widowControl/>
        <w:overflowPunct w:val="0"/>
        <w:autoSpaceDE w:val="0"/>
        <w:autoSpaceDN w:val="0"/>
        <w:adjustRightInd w:val="0"/>
        <w:spacing w:before="120" w:afterLines="50" w:after="120"/>
        <w:textAlignment w:val="baseline"/>
        <w:rPr>
          <w:rFonts w:ascii="Arial" w:eastAsia="宋体" w:hAnsi="Arial" w:cs="Arial" w:hint="eastAsia"/>
          <w:b/>
          <w:bCs/>
          <w:kern w:val="0"/>
          <w:sz w:val="24"/>
          <w:szCs w:val="20"/>
        </w:rPr>
      </w:pPr>
    </w:p>
    <w:p w:rsidR="009066E3" w:rsidRPr="006A3052" w:rsidRDefault="009066E3" w:rsidP="009066E3">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6A3052">
        <w:rPr>
          <w:rFonts w:ascii="Arial" w:eastAsia="宋体" w:hAnsi="Arial" w:cs="Arial"/>
          <w:b/>
          <w:kern w:val="0"/>
          <w:sz w:val="24"/>
          <w:szCs w:val="20"/>
          <w:lang w:val="en-GB"/>
        </w:rPr>
        <w:t xml:space="preserve">Title: </w:t>
      </w:r>
      <w:r w:rsidRPr="006A3052">
        <w:rPr>
          <w:rFonts w:ascii="Arial" w:eastAsia="宋体" w:hAnsi="Arial" w:cs="Arial"/>
          <w:b/>
          <w:kern w:val="0"/>
          <w:sz w:val="24"/>
          <w:szCs w:val="20"/>
          <w:lang w:val="en-GB"/>
        </w:rPr>
        <w:tab/>
        <w:t xml:space="preserve">Discussion on </w:t>
      </w:r>
      <w:r w:rsidR="000611A3">
        <w:rPr>
          <w:rFonts w:ascii="Arial" w:eastAsia="宋体" w:hAnsi="Arial" w:cs="Arial"/>
          <w:b/>
          <w:kern w:val="0"/>
          <w:sz w:val="24"/>
          <w:szCs w:val="20"/>
          <w:lang w:val="en-GB"/>
        </w:rPr>
        <w:t>working procedure</w:t>
      </w:r>
      <w:r w:rsidR="00FA4548">
        <w:rPr>
          <w:rFonts w:ascii="Arial" w:eastAsia="宋体" w:hAnsi="Arial" w:cs="Arial"/>
          <w:b/>
          <w:kern w:val="0"/>
          <w:sz w:val="24"/>
          <w:szCs w:val="20"/>
          <w:lang w:val="en-GB"/>
        </w:rPr>
        <w:t xml:space="preserve"> </w:t>
      </w:r>
      <w:r w:rsidR="00FA4548">
        <w:rPr>
          <w:rFonts w:ascii="Arial" w:eastAsia="宋体" w:hAnsi="Arial" w:cs="Arial" w:hint="eastAsia"/>
          <w:b/>
          <w:kern w:val="0"/>
          <w:sz w:val="24"/>
          <w:szCs w:val="20"/>
          <w:lang w:val="en-GB"/>
        </w:rPr>
        <w:t>sim</w:t>
      </w:r>
      <w:r w:rsidR="00FA4548">
        <w:rPr>
          <w:rFonts w:ascii="Arial" w:eastAsia="宋体" w:hAnsi="Arial" w:cs="Arial"/>
          <w:b/>
          <w:kern w:val="0"/>
          <w:sz w:val="24"/>
          <w:szCs w:val="20"/>
          <w:lang w:val="en-GB"/>
        </w:rPr>
        <w:t>plification</w:t>
      </w:r>
    </w:p>
    <w:p w:rsidR="009066E3" w:rsidRPr="006A3052" w:rsidRDefault="009066E3" w:rsidP="009066E3">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6A3052">
        <w:rPr>
          <w:rFonts w:ascii="Arial" w:eastAsia="宋体" w:hAnsi="Arial" w:cs="Arial"/>
          <w:b/>
          <w:kern w:val="0"/>
          <w:sz w:val="24"/>
          <w:szCs w:val="20"/>
          <w:lang w:val="en-GB"/>
        </w:rPr>
        <w:t xml:space="preserve">Source: </w:t>
      </w:r>
      <w:r w:rsidRPr="006A3052">
        <w:rPr>
          <w:rFonts w:ascii="Arial" w:eastAsia="宋体" w:hAnsi="Arial" w:cs="Arial"/>
          <w:b/>
          <w:kern w:val="0"/>
          <w:sz w:val="24"/>
          <w:szCs w:val="20"/>
          <w:lang w:val="en-GB"/>
        </w:rPr>
        <w:tab/>
        <w:t>CATT</w:t>
      </w:r>
    </w:p>
    <w:p w:rsidR="009066E3" w:rsidRPr="006A3052" w:rsidRDefault="00D23DD1" w:rsidP="009066E3">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t>11.3.2</w:t>
      </w:r>
      <w:bookmarkStart w:id="2" w:name="_GoBack"/>
      <w:bookmarkEnd w:id="2"/>
    </w:p>
    <w:p w:rsidR="009066E3" w:rsidRPr="006A3052" w:rsidRDefault="009066E3" w:rsidP="009066E3">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6A3052">
        <w:rPr>
          <w:rFonts w:ascii="Arial" w:eastAsia="宋体" w:hAnsi="Arial" w:cs="Arial"/>
          <w:b/>
          <w:kern w:val="0"/>
          <w:sz w:val="24"/>
          <w:szCs w:val="20"/>
          <w:lang w:val="en-GB"/>
        </w:rPr>
        <w:t>Document for:</w:t>
      </w:r>
      <w:r w:rsidRPr="006A3052">
        <w:rPr>
          <w:rFonts w:ascii="Arial" w:eastAsia="宋体" w:hAnsi="Arial" w:cs="Arial"/>
          <w:b/>
          <w:kern w:val="0"/>
          <w:sz w:val="24"/>
          <w:szCs w:val="20"/>
          <w:lang w:val="en-GB"/>
        </w:rPr>
        <w:tab/>
      </w:r>
      <w:bookmarkStart w:id="3" w:name="DocumentFor"/>
      <w:bookmarkEnd w:id="3"/>
      <w:r w:rsidRPr="006A3052">
        <w:rPr>
          <w:rFonts w:ascii="Arial" w:eastAsia="宋体" w:hAnsi="Arial" w:cs="Arial"/>
          <w:b/>
          <w:kern w:val="0"/>
          <w:sz w:val="24"/>
          <w:szCs w:val="20"/>
          <w:lang w:val="en-GB"/>
        </w:rPr>
        <w:t>Approval</w:t>
      </w:r>
    </w:p>
    <w:p w:rsidR="009066E3" w:rsidRPr="006A3052" w:rsidRDefault="009066E3" w:rsidP="009066E3">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4" w:name="OLE_LINK5"/>
      <w:bookmarkStart w:id="5" w:name="OLE_LINK6"/>
      <w:r w:rsidRPr="006A3052">
        <w:rPr>
          <w:rFonts w:ascii="Arial" w:eastAsia="宋体" w:hAnsi="Arial" w:cs="Arial"/>
          <w:kern w:val="0"/>
          <w:sz w:val="32"/>
          <w:szCs w:val="20"/>
          <w:lang w:val="en-GB" w:eastAsia="en-US"/>
        </w:rPr>
        <w:t>Introduction</w:t>
      </w:r>
    </w:p>
    <w:p w:rsidR="009066E3" w:rsidRPr="00057ECA" w:rsidRDefault="00C0656E" w:rsidP="009066E3">
      <w:pPr>
        <w:spacing w:before="80" w:after="80"/>
        <w:rPr>
          <w:rFonts w:ascii="Arial" w:eastAsia="宋体" w:hAnsi="Arial" w:cs="Arial"/>
          <w:sz w:val="20"/>
          <w:lang w:val="en-GB"/>
        </w:rPr>
      </w:pPr>
      <w:r w:rsidRPr="00D133B1">
        <w:rPr>
          <w:rFonts w:ascii="Arial" w:eastAsia="宋体" w:hAnsi="Arial" w:cs="Arial" w:hint="eastAsia"/>
          <w:sz w:val="20"/>
          <w:lang w:val="en-GB"/>
        </w:rPr>
        <w:t>In</w:t>
      </w:r>
      <w:r w:rsidRPr="00D133B1">
        <w:rPr>
          <w:rFonts w:ascii="Arial" w:eastAsia="宋体" w:hAnsi="Arial" w:cs="Arial"/>
          <w:sz w:val="20"/>
          <w:lang w:val="en-GB"/>
        </w:rPr>
        <w:t xml:space="preserve"> </w:t>
      </w:r>
      <w:r w:rsidRPr="00D133B1">
        <w:rPr>
          <w:rFonts w:ascii="Arial" w:eastAsia="宋体" w:hAnsi="Arial" w:cs="Arial" w:hint="eastAsia"/>
          <w:sz w:val="20"/>
          <w:lang w:val="en-GB"/>
        </w:rPr>
        <w:t>Rel</w:t>
      </w:r>
      <w:r>
        <w:rPr>
          <w:rFonts w:ascii="Arial" w:eastAsia="宋体" w:hAnsi="Arial" w:cs="Arial"/>
          <w:sz w:val="20"/>
          <w:lang w:val="en-GB"/>
        </w:rPr>
        <w:t xml:space="preserve">-17 </w:t>
      </w:r>
      <w:r w:rsidRPr="00D133B1">
        <w:rPr>
          <w:rFonts w:ascii="Arial" w:eastAsia="宋体" w:hAnsi="Arial" w:cs="Arial"/>
          <w:sz w:val="20"/>
          <w:lang w:val="en-GB"/>
        </w:rPr>
        <w:t xml:space="preserve">a study on band combination handling was completed in RAN4 with the agreements captured in TR 38.862. </w:t>
      </w:r>
      <w:r w:rsidRPr="00057ECA">
        <w:rPr>
          <w:rFonts w:ascii="Arial" w:eastAsia="宋体" w:hAnsi="Arial" w:cs="Arial"/>
          <w:sz w:val="20"/>
          <w:lang w:val="en-GB"/>
        </w:rPr>
        <w:t xml:space="preserve">A new </w:t>
      </w:r>
      <w:r>
        <w:rPr>
          <w:rFonts w:ascii="Arial" w:eastAsia="宋体" w:hAnsi="Arial" w:cs="Arial"/>
          <w:sz w:val="20"/>
          <w:lang w:val="en-GB"/>
        </w:rPr>
        <w:t>S</w:t>
      </w:r>
      <w:r w:rsidRPr="00057ECA">
        <w:rPr>
          <w:rFonts w:ascii="Arial" w:eastAsia="宋体" w:hAnsi="Arial" w:cs="Arial"/>
          <w:sz w:val="20"/>
          <w:lang w:val="en-GB"/>
        </w:rPr>
        <w:t xml:space="preserve">I [1] on </w:t>
      </w:r>
      <w:r>
        <w:rPr>
          <w:rFonts w:ascii="Arial" w:eastAsia="宋体" w:hAnsi="Arial" w:cs="Arial"/>
          <w:sz w:val="20"/>
          <w:lang w:val="en-GB"/>
        </w:rPr>
        <w:t xml:space="preserve">further simplification of band combination specification </w:t>
      </w:r>
      <w:r w:rsidRPr="00057ECA">
        <w:rPr>
          <w:rFonts w:ascii="Arial" w:eastAsia="宋体" w:hAnsi="Arial" w:cs="Arial"/>
          <w:sz w:val="20"/>
          <w:lang w:val="en-GB"/>
        </w:rPr>
        <w:t>was approved in RAN#96 meeting and RAN4 is planned to initiate the work from this meeting.</w:t>
      </w:r>
      <w:r>
        <w:rPr>
          <w:rFonts w:ascii="Arial" w:eastAsia="宋体" w:hAnsi="Arial" w:cs="Arial"/>
          <w:sz w:val="20"/>
          <w:lang w:val="en-GB"/>
        </w:rPr>
        <w:t xml:space="preserve"> </w:t>
      </w:r>
      <w:r w:rsidR="009066E3" w:rsidRPr="00057ECA">
        <w:rPr>
          <w:rFonts w:ascii="Arial" w:eastAsia="宋体" w:hAnsi="Arial" w:cs="Arial"/>
          <w:sz w:val="20"/>
          <w:lang w:val="en-GB"/>
        </w:rPr>
        <w:t>This contrib</w:t>
      </w:r>
      <w:r w:rsidR="00451D0F">
        <w:rPr>
          <w:rFonts w:ascii="Arial" w:eastAsia="宋体" w:hAnsi="Arial" w:cs="Arial"/>
          <w:sz w:val="20"/>
          <w:lang w:val="en-GB"/>
        </w:rPr>
        <w:t>ution will provide our view</w:t>
      </w:r>
      <w:r>
        <w:rPr>
          <w:rFonts w:ascii="Arial" w:eastAsia="宋体" w:hAnsi="Arial" w:cs="Arial"/>
          <w:sz w:val="20"/>
          <w:lang w:val="en-GB"/>
        </w:rPr>
        <w:t>s</w:t>
      </w:r>
      <w:r w:rsidR="00451D0F">
        <w:rPr>
          <w:rFonts w:ascii="Arial" w:eastAsia="宋体" w:hAnsi="Arial" w:cs="Arial"/>
          <w:sz w:val="20"/>
          <w:lang w:val="en-GB"/>
        </w:rPr>
        <w:t xml:space="preserve"> on</w:t>
      </w:r>
      <w:r>
        <w:rPr>
          <w:rFonts w:ascii="Arial" w:eastAsia="宋体" w:hAnsi="Arial" w:cs="Arial"/>
          <w:sz w:val="20"/>
          <w:lang w:val="en-GB"/>
        </w:rPr>
        <w:t xml:space="preserve"> simplification of</w:t>
      </w:r>
      <w:r w:rsidR="00451D0F">
        <w:rPr>
          <w:rFonts w:ascii="Arial" w:eastAsia="宋体" w:hAnsi="Arial" w:cs="Arial"/>
          <w:sz w:val="20"/>
          <w:lang w:val="en-GB"/>
        </w:rPr>
        <w:t xml:space="preserve"> working procedure</w:t>
      </w:r>
      <w:r>
        <w:rPr>
          <w:rFonts w:ascii="Arial" w:eastAsia="宋体" w:hAnsi="Arial" w:cs="Arial"/>
          <w:sz w:val="20"/>
          <w:lang w:val="en-GB"/>
        </w:rPr>
        <w:t>.</w:t>
      </w:r>
    </w:p>
    <w:bookmarkEnd w:id="4"/>
    <w:bookmarkEnd w:id="5"/>
    <w:p w:rsidR="009066E3" w:rsidRPr="006A3052" w:rsidRDefault="009066E3" w:rsidP="009066E3">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6A3052">
        <w:rPr>
          <w:rFonts w:ascii="Arial" w:eastAsia="宋体" w:hAnsi="Arial" w:cs="Arial"/>
          <w:kern w:val="0"/>
          <w:sz w:val="32"/>
          <w:szCs w:val="20"/>
          <w:lang w:val="en-GB"/>
        </w:rPr>
        <w:t>Discussion</w:t>
      </w:r>
    </w:p>
    <w:p w:rsidR="0045500A" w:rsidRDefault="00D133B1" w:rsidP="00D133B1">
      <w:pPr>
        <w:spacing w:before="80" w:after="80"/>
        <w:rPr>
          <w:rFonts w:ascii="Arial" w:eastAsia="宋体" w:hAnsi="Arial" w:cs="Arial"/>
          <w:sz w:val="20"/>
          <w:lang w:val="en-GB"/>
        </w:rPr>
      </w:pPr>
      <w:r>
        <w:rPr>
          <w:rFonts w:ascii="Arial" w:eastAsia="宋体" w:hAnsi="Arial" w:cs="Arial"/>
          <w:sz w:val="20"/>
          <w:lang w:val="en-GB"/>
        </w:rPr>
        <w:t>In Rel</w:t>
      </w:r>
      <w:r w:rsidR="005F1B03">
        <w:rPr>
          <w:rFonts w:ascii="Arial" w:eastAsia="宋体" w:hAnsi="Arial" w:cs="Arial"/>
          <w:sz w:val="20"/>
          <w:lang w:val="en-GB"/>
        </w:rPr>
        <w:t xml:space="preserve">-18, </w:t>
      </w:r>
      <w:r w:rsidR="00C0656E">
        <w:rPr>
          <w:rFonts w:ascii="Arial" w:eastAsia="宋体" w:hAnsi="Arial" w:cs="Arial"/>
          <w:sz w:val="20"/>
          <w:lang w:val="en-GB"/>
        </w:rPr>
        <w:t xml:space="preserve">a </w:t>
      </w:r>
      <w:r w:rsidR="005F1B03">
        <w:rPr>
          <w:rFonts w:ascii="Arial" w:eastAsia="宋体" w:hAnsi="Arial" w:cs="Arial"/>
          <w:sz w:val="20"/>
          <w:lang w:val="en-GB"/>
        </w:rPr>
        <w:t>basket WI</w:t>
      </w:r>
      <w:r w:rsidR="00162E28">
        <w:rPr>
          <w:rFonts w:ascii="Arial" w:eastAsia="宋体" w:hAnsi="Arial" w:cs="Arial"/>
          <w:sz w:val="20"/>
          <w:lang w:val="en-GB"/>
        </w:rPr>
        <w:t xml:space="preserve">, namely </w:t>
      </w:r>
      <w:r w:rsidR="00162E28" w:rsidRPr="00162E28">
        <w:rPr>
          <w:rFonts w:ascii="Arial" w:eastAsia="宋体" w:hAnsi="Arial" w:cs="Arial"/>
          <w:sz w:val="20"/>
          <w:lang w:val="en-GB"/>
        </w:rPr>
        <w:t>NR_LTE_V2X_PC5_combos_R18</w:t>
      </w:r>
      <w:r w:rsidR="00162E28">
        <w:rPr>
          <w:rFonts w:ascii="Arial" w:eastAsia="宋体" w:hAnsi="Arial" w:cs="Arial"/>
          <w:sz w:val="20"/>
          <w:lang w:val="en-GB"/>
        </w:rPr>
        <w:t xml:space="preserve"> </w:t>
      </w:r>
      <w:r w:rsidR="005F1B03">
        <w:rPr>
          <w:rFonts w:ascii="Arial" w:eastAsia="宋体" w:hAnsi="Arial" w:cs="Arial"/>
          <w:sz w:val="20"/>
          <w:lang w:val="en-GB"/>
        </w:rPr>
        <w:t>for V2X band combination was approved in RAN#96 meeting.</w:t>
      </w:r>
      <w:r w:rsidR="00C0656E">
        <w:rPr>
          <w:rFonts w:ascii="Arial" w:eastAsia="宋体" w:hAnsi="Arial" w:cs="Arial"/>
          <w:sz w:val="20"/>
          <w:lang w:val="en-GB"/>
        </w:rPr>
        <w:t xml:space="preserve"> </w:t>
      </w:r>
      <w:r w:rsidR="00162E28">
        <w:rPr>
          <w:rFonts w:ascii="Arial" w:eastAsia="宋体" w:hAnsi="Arial" w:cs="Arial"/>
          <w:sz w:val="20"/>
          <w:lang w:val="en-GB"/>
        </w:rPr>
        <w:t>It is observed that t</w:t>
      </w:r>
      <w:r w:rsidR="00162E28">
        <w:rPr>
          <w:rFonts w:ascii="Arial" w:eastAsia="宋体" w:hAnsi="Arial" w:cs="Arial" w:hint="eastAsia"/>
          <w:sz w:val="20"/>
          <w:lang w:val="en-GB"/>
        </w:rPr>
        <w:t>he</w:t>
      </w:r>
      <w:r w:rsidR="00162E28">
        <w:rPr>
          <w:rFonts w:ascii="Arial" w:eastAsia="宋体" w:hAnsi="Arial" w:cs="Arial"/>
          <w:sz w:val="20"/>
          <w:lang w:val="en-GB"/>
        </w:rPr>
        <w:t xml:space="preserve"> basket WI of V2X band combination is included in the excel template of band combination request for block approval. In Rel-17, the basket WI was discussed with non-block approval procedure. </w:t>
      </w:r>
      <w:r w:rsidR="00C0656E" w:rsidRPr="00D133B1">
        <w:rPr>
          <w:rFonts w:ascii="Arial" w:eastAsia="宋体" w:hAnsi="Arial" w:cs="Arial" w:hint="eastAsia"/>
          <w:sz w:val="20"/>
          <w:lang w:val="en-GB"/>
        </w:rPr>
        <w:t>F</w:t>
      </w:r>
      <w:r w:rsidR="00C0656E" w:rsidRPr="00D133B1">
        <w:rPr>
          <w:rFonts w:ascii="Arial" w:eastAsia="宋体" w:hAnsi="Arial" w:cs="Arial"/>
          <w:sz w:val="20"/>
          <w:lang w:val="en-GB"/>
        </w:rPr>
        <w:t xml:space="preserve">or V2X </w:t>
      </w:r>
      <w:r w:rsidR="00C0656E">
        <w:rPr>
          <w:rFonts w:ascii="Arial" w:eastAsia="宋体" w:hAnsi="Arial" w:cs="Arial"/>
          <w:sz w:val="20"/>
          <w:lang w:val="en-GB"/>
        </w:rPr>
        <w:t>band combinations specified in Rel-17, only single CC on Uu and PC5 is considered including NR Uu and NR PC5, NR Uu and LTE PC5, LTE Uu and NR PC5.</w:t>
      </w:r>
      <w:r w:rsidR="00C0656E">
        <w:rPr>
          <w:rFonts w:ascii="Arial" w:eastAsia="宋体" w:hAnsi="Arial" w:cs="Arial" w:hint="eastAsia"/>
          <w:sz w:val="20"/>
          <w:lang w:val="en-GB"/>
        </w:rPr>
        <w:t xml:space="preserve"> </w:t>
      </w:r>
      <w:r>
        <w:rPr>
          <w:rFonts w:ascii="Arial" w:eastAsia="宋体" w:hAnsi="Arial" w:cs="Arial"/>
          <w:sz w:val="20"/>
          <w:lang w:val="en-GB"/>
        </w:rPr>
        <w:t xml:space="preserve">Whether to introduce </w:t>
      </w:r>
      <w:r w:rsidRPr="00D133B1">
        <w:rPr>
          <w:rFonts w:ascii="Arial" w:eastAsia="宋体" w:hAnsi="Arial" w:cs="Arial"/>
          <w:sz w:val="20"/>
          <w:lang w:val="en-GB"/>
        </w:rPr>
        <w:t>operation of any PC5 configuration (LTE PC5, NR PC5, CA on PC5</w:t>
      </w:r>
      <w:r>
        <w:rPr>
          <w:rFonts w:ascii="Arial" w:eastAsia="宋体" w:hAnsi="Arial" w:cs="Arial"/>
          <w:sz w:val="20"/>
          <w:lang w:val="en-GB"/>
        </w:rPr>
        <w:t>) with any Uu configuration (</w:t>
      </w:r>
      <w:r w:rsidRPr="00D133B1">
        <w:rPr>
          <w:rFonts w:ascii="Arial" w:eastAsia="宋体" w:hAnsi="Arial" w:cs="Arial"/>
          <w:sz w:val="20"/>
          <w:lang w:val="en-GB"/>
        </w:rPr>
        <w:t>LTE CA/DC, EN-DC, NR DC)</w:t>
      </w:r>
      <w:r>
        <w:rPr>
          <w:rFonts w:ascii="Arial" w:eastAsia="宋体" w:hAnsi="Arial" w:cs="Arial"/>
          <w:sz w:val="20"/>
          <w:lang w:val="en-GB"/>
        </w:rPr>
        <w:t xml:space="preserve"> will be dependent on operator request. The simplified approach and procedure </w:t>
      </w:r>
      <w:r w:rsidR="00C0656E">
        <w:rPr>
          <w:rFonts w:ascii="Arial" w:eastAsia="宋体" w:hAnsi="Arial" w:cs="Arial"/>
          <w:sz w:val="20"/>
          <w:lang w:val="en-GB"/>
        </w:rPr>
        <w:t xml:space="preserve">to be agreed </w:t>
      </w:r>
      <w:r>
        <w:rPr>
          <w:rFonts w:ascii="Arial" w:eastAsia="宋体" w:hAnsi="Arial" w:cs="Arial"/>
          <w:sz w:val="20"/>
          <w:lang w:val="en-GB"/>
        </w:rPr>
        <w:t xml:space="preserve">for normal CA/DC basket WI </w:t>
      </w:r>
      <w:r w:rsidR="00C0656E">
        <w:rPr>
          <w:rFonts w:ascii="Arial" w:eastAsia="宋体" w:hAnsi="Arial" w:cs="Arial"/>
          <w:sz w:val="20"/>
          <w:lang w:val="en-GB"/>
        </w:rPr>
        <w:t xml:space="preserve">if any </w:t>
      </w:r>
      <w:r>
        <w:rPr>
          <w:rFonts w:ascii="Arial" w:eastAsia="宋体" w:hAnsi="Arial" w:cs="Arial"/>
          <w:sz w:val="20"/>
          <w:lang w:val="en-GB"/>
        </w:rPr>
        <w:t>can be reused for V2X basket WI.</w:t>
      </w:r>
      <w:r w:rsidR="0045500A">
        <w:rPr>
          <w:rFonts w:ascii="Arial" w:eastAsia="宋体" w:hAnsi="Arial" w:cs="Arial"/>
          <w:sz w:val="20"/>
          <w:lang w:val="en-GB"/>
        </w:rPr>
        <w:t xml:space="preserve"> </w:t>
      </w:r>
      <w:r w:rsidR="00C0656E">
        <w:rPr>
          <w:rFonts w:ascii="Arial" w:eastAsia="宋体" w:hAnsi="Arial" w:cs="Arial"/>
          <w:sz w:val="20"/>
          <w:lang w:val="en-GB"/>
        </w:rPr>
        <w:t xml:space="preserve">Currently, the V2X </w:t>
      </w:r>
      <w:r w:rsidR="00A61132">
        <w:rPr>
          <w:rFonts w:ascii="Arial" w:eastAsia="宋体" w:hAnsi="Arial" w:cs="Arial"/>
          <w:sz w:val="20"/>
          <w:lang w:val="en-GB"/>
        </w:rPr>
        <w:t>sections specified</w:t>
      </w:r>
      <w:r w:rsidR="00C0656E">
        <w:rPr>
          <w:rFonts w:ascii="Arial" w:eastAsia="宋体" w:hAnsi="Arial" w:cs="Arial"/>
          <w:sz w:val="20"/>
          <w:lang w:val="en-GB"/>
        </w:rPr>
        <w:t xml:space="preserve"> in 38.101-1 and 38.101-3 should be updated based on the agreements captured in TR 38.862</w:t>
      </w:r>
      <w:r w:rsidR="00A61132">
        <w:rPr>
          <w:rFonts w:ascii="Arial" w:eastAsia="宋体" w:hAnsi="Arial" w:cs="Arial"/>
          <w:sz w:val="20"/>
          <w:lang w:val="en-GB"/>
        </w:rPr>
        <w:t xml:space="preserve">. It seems most </w:t>
      </w:r>
      <w:r w:rsidR="0045500A">
        <w:rPr>
          <w:rFonts w:ascii="Arial" w:eastAsia="宋体" w:hAnsi="Arial" w:cs="Arial"/>
          <w:sz w:val="20"/>
          <w:lang w:val="en-GB"/>
        </w:rPr>
        <w:t xml:space="preserve">of them </w:t>
      </w:r>
      <w:r w:rsidR="00A61132">
        <w:rPr>
          <w:rFonts w:ascii="Arial" w:eastAsia="宋体" w:hAnsi="Arial" w:cs="Arial"/>
          <w:sz w:val="20"/>
          <w:lang w:val="en-GB"/>
        </w:rPr>
        <w:t>are aligned with CA/DC</w:t>
      </w:r>
      <w:r w:rsidR="00454CDA">
        <w:rPr>
          <w:rFonts w:ascii="Arial" w:eastAsia="宋体" w:hAnsi="Arial" w:cs="Arial"/>
          <w:sz w:val="20"/>
          <w:lang w:val="en-GB"/>
        </w:rPr>
        <w:t xml:space="preserve"> </w:t>
      </w:r>
      <w:r w:rsidR="0074265A">
        <w:rPr>
          <w:rFonts w:ascii="Arial" w:eastAsia="宋体" w:hAnsi="Arial" w:cs="Arial"/>
          <w:sz w:val="20"/>
          <w:lang w:val="en-GB"/>
        </w:rPr>
        <w:t xml:space="preserve">template </w:t>
      </w:r>
      <w:r w:rsidR="00454CDA">
        <w:rPr>
          <w:rFonts w:ascii="Arial" w:eastAsia="宋体" w:hAnsi="Arial" w:cs="Arial"/>
          <w:sz w:val="20"/>
          <w:lang w:val="en-GB"/>
        </w:rPr>
        <w:t>until the latest version v17.6.0</w:t>
      </w:r>
      <w:r w:rsidR="00A61132">
        <w:rPr>
          <w:rFonts w:ascii="Arial" w:eastAsia="宋体" w:hAnsi="Arial" w:cs="Arial"/>
          <w:sz w:val="20"/>
          <w:lang w:val="en-GB"/>
        </w:rPr>
        <w:t>.</w:t>
      </w:r>
    </w:p>
    <w:p w:rsidR="0045500A" w:rsidRDefault="00F377F3" w:rsidP="00D133B1">
      <w:pPr>
        <w:spacing w:before="80" w:after="80"/>
        <w:rPr>
          <w:rFonts w:ascii="Arial" w:eastAsia="宋体" w:hAnsi="Arial" w:cs="Arial"/>
          <w:sz w:val="20"/>
          <w:lang w:val="en-GB"/>
        </w:rPr>
      </w:pPr>
      <w:r>
        <w:rPr>
          <w:rFonts w:ascii="Arial" w:eastAsia="宋体" w:hAnsi="Arial" w:cs="Arial"/>
          <w:sz w:val="20"/>
          <w:lang w:val="en-GB"/>
        </w:rPr>
        <w:t xml:space="preserve">The workflow for band combination introduction for block approval was captured in TR 38.862 as illustrated in Figure 1. </w:t>
      </w:r>
      <w:r w:rsidR="0074265A">
        <w:rPr>
          <w:rFonts w:ascii="Arial" w:eastAsia="宋体" w:hAnsi="Arial" w:cs="Arial"/>
          <w:sz w:val="20"/>
          <w:lang w:val="en-GB"/>
        </w:rPr>
        <w:t>Also i</w:t>
      </w:r>
      <w:r>
        <w:rPr>
          <w:rFonts w:ascii="Arial" w:eastAsia="宋体" w:hAnsi="Arial" w:cs="Arial"/>
          <w:sz w:val="20"/>
          <w:lang w:val="en-GB"/>
        </w:rPr>
        <w:t>t was observed the</w:t>
      </w:r>
      <w:r w:rsidR="00500DF5">
        <w:rPr>
          <w:rFonts w:ascii="Arial" w:eastAsia="宋体" w:hAnsi="Arial" w:cs="Arial"/>
          <w:sz w:val="20"/>
          <w:lang w:val="en-GB"/>
        </w:rPr>
        <w:t xml:space="preserve"> </w:t>
      </w:r>
      <w:r>
        <w:rPr>
          <w:rFonts w:ascii="Arial" w:eastAsia="宋体" w:hAnsi="Arial" w:cs="Arial"/>
          <w:sz w:val="20"/>
          <w:lang w:val="en-GB"/>
        </w:rPr>
        <w:t xml:space="preserve">TP prepared by some companies </w:t>
      </w:r>
      <w:r w:rsidR="00176B38">
        <w:rPr>
          <w:rFonts w:ascii="Arial" w:eastAsia="宋体" w:hAnsi="Arial" w:cs="Arial"/>
          <w:sz w:val="20"/>
          <w:lang w:val="en-GB"/>
        </w:rPr>
        <w:t xml:space="preserve">do not </w:t>
      </w:r>
      <w:r>
        <w:rPr>
          <w:rFonts w:ascii="Arial" w:eastAsia="宋体" w:hAnsi="Arial" w:cs="Arial"/>
          <w:sz w:val="20"/>
          <w:lang w:val="en-GB"/>
        </w:rPr>
        <w:t xml:space="preserve">use </w:t>
      </w:r>
      <w:r w:rsidR="00176B38">
        <w:rPr>
          <w:rFonts w:ascii="Arial" w:eastAsia="宋体" w:hAnsi="Arial" w:cs="Arial"/>
          <w:sz w:val="20"/>
          <w:lang w:val="en-GB"/>
        </w:rPr>
        <w:t xml:space="preserve">the latest </w:t>
      </w:r>
      <w:r>
        <w:rPr>
          <w:rFonts w:ascii="Arial" w:eastAsia="宋体" w:hAnsi="Arial" w:cs="Arial"/>
          <w:sz w:val="20"/>
          <w:lang w:val="en-GB"/>
        </w:rPr>
        <w:t xml:space="preserve">templates </w:t>
      </w:r>
      <w:r w:rsidR="00176B38">
        <w:rPr>
          <w:rFonts w:ascii="Arial" w:eastAsia="宋体" w:hAnsi="Arial" w:cs="Arial"/>
          <w:sz w:val="20"/>
          <w:lang w:val="en-GB"/>
        </w:rPr>
        <w:t xml:space="preserve">of </w:t>
      </w:r>
      <w:r>
        <w:rPr>
          <w:rFonts w:ascii="Arial" w:eastAsia="宋体" w:hAnsi="Arial" w:cs="Arial"/>
          <w:sz w:val="20"/>
          <w:lang w:val="en-GB"/>
        </w:rPr>
        <w:t>bandwidth table</w:t>
      </w:r>
      <w:r w:rsidR="00176B38">
        <w:rPr>
          <w:rFonts w:ascii="Arial" w:eastAsia="宋体" w:hAnsi="Arial" w:cs="Arial"/>
          <w:sz w:val="20"/>
          <w:lang w:val="en-GB"/>
        </w:rPr>
        <w:t xml:space="preserve"> captured in the latest spec that would include the newly added channel bandwidth. </w:t>
      </w:r>
      <w:r w:rsidR="00C44170">
        <w:rPr>
          <w:rFonts w:ascii="Arial" w:eastAsia="宋体" w:hAnsi="Arial" w:cs="Arial"/>
          <w:sz w:val="20"/>
          <w:lang w:val="en-GB"/>
        </w:rPr>
        <w:t xml:space="preserve">It will cause redundant work of </w:t>
      </w:r>
      <w:r w:rsidR="00AB2A9C">
        <w:rPr>
          <w:rFonts w:ascii="Arial" w:eastAsia="宋体" w:hAnsi="Arial" w:cs="Arial"/>
          <w:sz w:val="20"/>
          <w:lang w:val="en-GB"/>
        </w:rPr>
        <w:t xml:space="preserve">spec </w:t>
      </w:r>
      <w:r w:rsidR="00C44170">
        <w:rPr>
          <w:rFonts w:ascii="Arial" w:eastAsia="宋体" w:hAnsi="Arial" w:cs="Arial"/>
          <w:sz w:val="20"/>
          <w:lang w:val="en-GB"/>
        </w:rPr>
        <w:t xml:space="preserve">format adjustment for rapporteur when drafting big CR. </w:t>
      </w:r>
      <w:r w:rsidR="0074265A">
        <w:rPr>
          <w:rFonts w:ascii="Arial" w:eastAsia="宋体" w:hAnsi="Arial" w:cs="Arial"/>
          <w:sz w:val="20"/>
          <w:lang w:val="en-GB"/>
        </w:rPr>
        <w:t>So i</w:t>
      </w:r>
      <w:r w:rsidR="00C44170">
        <w:rPr>
          <w:rFonts w:ascii="Arial" w:eastAsia="宋体" w:hAnsi="Arial" w:cs="Arial" w:hint="eastAsia"/>
          <w:sz w:val="20"/>
          <w:lang w:val="en-GB"/>
        </w:rPr>
        <w:t>t</w:t>
      </w:r>
      <w:r w:rsidR="00C44170">
        <w:rPr>
          <w:rFonts w:ascii="Arial" w:eastAsia="宋体" w:hAnsi="Arial" w:cs="Arial"/>
          <w:sz w:val="20"/>
          <w:lang w:val="en-GB"/>
        </w:rPr>
        <w:t xml:space="preserve"> </w:t>
      </w:r>
      <w:r w:rsidR="00C44170">
        <w:rPr>
          <w:rFonts w:ascii="Arial" w:eastAsia="宋体" w:hAnsi="Arial" w:cs="Arial" w:hint="eastAsia"/>
          <w:sz w:val="20"/>
          <w:lang w:val="en-GB"/>
        </w:rPr>
        <w:t xml:space="preserve">is </w:t>
      </w:r>
      <w:r w:rsidR="006C7036">
        <w:rPr>
          <w:rFonts w:ascii="Arial" w:eastAsia="宋体" w:hAnsi="Arial" w:cs="Arial"/>
          <w:sz w:val="20"/>
          <w:lang w:val="en-GB"/>
        </w:rPr>
        <w:t xml:space="preserve">expected </w:t>
      </w:r>
      <w:r w:rsidR="00AB2A9C">
        <w:rPr>
          <w:rFonts w:ascii="Arial" w:eastAsia="宋体" w:hAnsi="Arial" w:cs="Arial"/>
          <w:sz w:val="20"/>
          <w:lang w:val="en-GB"/>
        </w:rPr>
        <w:t xml:space="preserve">the TP author could use the </w:t>
      </w:r>
      <w:r w:rsidR="00176B38">
        <w:rPr>
          <w:rFonts w:ascii="Arial" w:eastAsia="宋体" w:hAnsi="Arial" w:cs="Arial" w:hint="eastAsia"/>
          <w:sz w:val="20"/>
          <w:lang w:val="en-GB"/>
        </w:rPr>
        <w:t>latest</w:t>
      </w:r>
      <w:r w:rsidR="00AB2A9C">
        <w:rPr>
          <w:rFonts w:ascii="Arial" w:eastAsia="宋体" w:hAnsi="Arial" w:cs="Arial"/>
          <w:sz w:val="20"/>
          <w:lang w:val="en-GB"/>
        </w:rPr>
        <w:t xml:space="preserve"> template </w:t>
      </w:r>
      <w:r w:rsidR="00176B38">
        <w:rPr>
          <w:rFonts w:ascii="Arial" w:eastAsia="宋体" w:hAnsi="Arial" w:cs="Arial"/>
          <w:sz w:val="20"/>
          <w:lang w:val="en-GB"/>
        </w:rPr>
        <w:t xml:space="preserve">of bandwidth table </w:t>
      </w:r>
      <w:r w:rsidR="00AB2A9C">
        <w:rPr>
          <w:rFonts w:ascii="Arial" w:eastAsia="宋体" w:hAnsi="Arial" w:cs="Arial"/>
          <w:sz w:val="20"/>
          <w:lang w:val="en-GB"/>
        </w:rPr>
        <w:t>as the latest</w:t>
      </w:r>
      <w:r w:rsidR="00176B38">
        <w:rPr>
          <w:rFonts w:ascii="Arial" w:eastAsia="宋体" w:hAnsi="Arial" w:cs="Arial"/>
          <w:sz w:val="20"/>
          <w:lang w:val="en-GB"/>
        </w:rPr>
        <w:t xml:space="preserve"> spec.</w:t>
      </w:r>
      <w:r w:rsidR="00742E72">
        <w:rPr>
          <w:rFonts w:ascii="Arial" w:eastAsia="宋体" w:hAnsi="Arial" w:cs="Arial"/>
          <w:sz w:val="20"/>
          <w:lang w:val="en-GB"/>
        </w:rPr>
        <w:t xml:space="preserve"> </w:t>
      </w:r>
    </w:p>
    <w:p w:rsidR="00F377F3" w:rsidRDefault="00F377F3" w:rsidP="00F377F3">
      <w:pPr>
        <w:pStyle w:val="TH"/>
      </w:pPr>
      <w:r w:rsidRPr="00E118E7">
        <w:rPr>
          <w:noProof/>
          <w:lang w:val="en-US" w:eastAsia="zh-CN"/>
        </w:rPr>
        <w:drawing>
          <wp:inline distT="0" distB="0" distL="0" distR="0" wp14:anchorId="0ACBB1A6" wp14:editId="436AD4DE">
            <wp:extent cx="4146413" cy="2908382"/>
            <wp:effectExtent l="0" t="0" r="698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88090" cy="2937615"/>
                    </a:xfrm>
                    <a:prstGeom prst="rect">
                      <a:avLst/>
                    </a:prstGeom>
                  </pic:spPr>
                </pic:pic>
              </a:graphicData>
            </a:graphic>
          </wp:inline>
        </w:drawing>
      </w:r>
    </w:p>
    <w:p w:rsidR="0045500A" w:rsidRPr="000D636C" w:rsidRDefault="00F377F3" w:rsidP="000F4894">
      <w:pPr>
        <w:pStyle w:val="TF"/>
        <w:rPr>
          <w:rFonts w:eastAsia="宋体"/>
          <w:b w:val="0"/>
          <w:i/>
          <w:lang w:eastAsia="zh-CN"/>
        </w:rPr>
      </w:pPr>
      <w:bookmarkStart w:id="6" w:name="OLE_LINK3"/>
      <w:bookmarkStart w:id="7" w:name="OLE_LINK4"/>
      <w:r w:rsidRPr="000D636C">
        <w:rPr>
          <w:b w:val="0"/>
        </w:rPr>
        <w:t xml:space="preserve">Figure 1: </w:t>
      </w:r>
      <w:bookmarkEnd w:id="6"/>
      <w:bookmarkEnd w:id="7"/>
      <w:r w:rsidRPr="000D636C">
        <w:rPr>
          <w:b w:val="0"/>
        </w:rPr>
        <w:t>The workflow on the introduction of band combinations for block approval</w:t>
      </w:r>
    </w:p>
    <w:p w:rsidR="009066E3" w:rsidRPr="0074265A" w:rsidRDefault="0045500A" w:rsidP="0074265A">
      <w:pPr>
        <w:spacing w:before="80" w:after="80"/>
        <w:rPr>
          <w:rFonts w:ascii="Arial" w:hAnsi="Arial" w:cs="Arial"/>
          <w:b/>
          <w:sz w:val="20"/>
          <w:lang w:val="en-GB"/>
        </w:rPr>
      </w:pPr>
      <w:r w:rsidRPr="0074265A">
        <w:rPr>
          <w:rFonts w:ascii="Arial" w:hAnsi="Arial" w:cs="Arial" w:hint="eastAsia"/>
          <w:b/>
          <w:sz w:val="20"/>
        </w:rPr>
        <w:lastRenderedPageBreak/>
        <w:t>O</w:t>
      </w:r>
      <w:r w:rsidRPr="0074265A">
        <w:rPr>
          <w:rFonts w:ascii="Arial" w:hAnsi="Arial" w:cs="Arial"/>
          <w:b/>
          <w:sz w:val="20"/>
        </w:rPr>
        <w:t>bservation 1:</w:t>
      </w:r>
      <w:r w:rsidR="0074265A">
        <w:rPr>
          <w:rFonts w:ascii="Arial" w:hAnsi="Arial" w:cs="Arial"/>
          <w:b/>
          <w:sz w:val="20"/>
        </w:rPr>
        <w:t xml:space="preserve"> </w:t>
      </w:r>
      <w:r w:rsidR="0074265A" w:rsidRPr="0074265A">
        <w:rPr>
          <w:rFonts w:ascii="Arial" w:hAnsi="Arial" w:cs="Arial"/>
          <w:b/>
          <w:sz w:val="20"/>
        </w:rPr>
        <w:t xml:space="preserve">The simplified approach and procedure to be agreed for normal CA/DC basket WI if any can be reused for V2X basket WI. Currently, the V2X sections specified in 38.101-1 and 38.101-3 should be updated based on the agreements captured in TR 38.862. It seems most of them are aligned with CA/DC </w:t>
      </w:r>
      <w:r w:rsidR="0074265A">
        <w:rPr>
          <w:rFonts w:ascii="Arial" w:hAnsi="Arial" w:cs="Arial"/>
          <w:b/>
          <w:sz w:val="20"/>
        </w:rPr>
        <w:t xml:space="preserve">template </w:t>
      </w:r>
      <w:r w:rsidR="0074265A" w:rsidRPr="0074265A">
        <w:rPr>
          <w:rFonts w:ascii="Arial" w:hAnsi="Arial" w:cs="Arial"/>
          <w:b/>
          <w:sz w:val="20"/>
        </w:rPr>
        <w:t>until the latest version v17.6.0.</w:t>
      </w:r>
    </w:p>
    <w:p w:rsidR="0074265A" w:rsidRPr="006E733D" w:rsidRDefault="006E733D" w:rsidP="0074265A">
      <w:pPr>
        <w:spacing w:before="80" w:after="80"/>
        <w:rPr>
          <w:rFonts w:ascii="Arial" w:hAnsi="Arial" w:cs="Arial"/>
          <w:b/>
          <w:sz w:val="20"/>
          <w:lang w:val="en-GB"/>
        </w:rPr>
      </w:pPr>
      <w:r>
        <w:rPr>
          <w:rFonts w:ascii="Arial" w:hAnsi="Arial" w:cs="Arial" w:hint="eastAsia"/>
          <w:b/>
          <w:sz w:val="20"/>
        </w:rPr>
        <w:t>O</w:t>
      </w:r>
      <w:r>
        <w:rPr>
          <w:rFonts w:ascii="Arial" w:hAnsi="Arial" w:cs="Arial"/>
          <w:b/>
          <w:sz w:val="20"/>
        </w:rPr>
        <w:t>bservation 2</w:t>
      </w:r>
      <w:r w:rsidR="0074265A" w:rsidRPr="00336B18">
        <w:rPr>
          <w:rFonts w:ascii="Arial" w:hAnsi="Arial" w:cs="Arial"/>
          <w:b/>
          <w:sz w:val="20"/>
        </w:rPr>
        <w:t xml:space="preserve">: </w:t>
      </w:r>
      <w:r w:rsidRPr="006E733D">
        <w:rPr>
          <w:rFonts w:ascii="Arial" w:eastAsia="宋体" w:hAnsi="Arial" w:cs="Arial"/>
          <w:b/>
          <w:sz w:val="20"/>
          <w:lang w:val="en-GB"/>
        </w:rPr>
        <w:t xml:space="preserve">TP prepared by some companies do not use the latest templates of bandwidth table captured in the latest spec that would include the newly added channel bandwidth. It will cause redundant work of spec format adjustment for rapporteur when drafting big CR. So it is </w:t>
      </w:r>
      <w:r w:rsidR="006C7036">
        <w:rPr>
          <w:rFonts w:ascii="Arial" w:eastAsia="宋体" w:hAnsi="Arial" w:cs="Arial"/>
          <w:b/>
          <w:sz w:val="20"/>
          <w:lang w:val="en-GB"/>
        </w:rPr>
        <w:t>expected</w:t>
      </w:r>
      <w:r w:rsidRPr="006E733D">
        <w:rPr>
          <w:rFonts w:ascii="Arial" w:eastAsia="宋体" w:hAnsi="Arial" w:cs="Arial"/>
          <w:b/>
          <w:sz w:val="20"/>
          <w:lang w:val="en-GB"/>
        </w:rPr>
        <w:t xml:space="preserve"> the TP author could use the latest template of bandwidth table as the latest spec.</w:t>
      </w:r>
    </w:p>
    <w:p w:rsidR="009066E3" w:rsidRPr="006A3052" w:rsidRDefault="009066E3" w:rsidP="009066E3">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r w:rsidRPr="006A3052">
        <w:rPr>
          <w:rFonts w:ascii="Arial" w:eastAsia="宋体" w:hAnsi="Arial" w:cs="Arial"/>
          <w:kern w:val="0"/>
          <w:sz w:val="32"/>
          <w:szCs w:val="20"/>
          <w:lang w:val="en-GB"/>
        </w:rPr>
        <w:t>Conclusion</w:t>
      </w:r>
    </w:p>
    <w:p w:rsidR="009066E3" w:rsidRDefault="009066E3" w:rsidP="009066E3">
      <w:pPr>
        <w:spacing w:before="80" w:after="80"/>
        <w:rPr>
          <w:rFonts w:ascii="Arial" w:hAnsi="Arial" w:cs="Arial"/>
          <w:sz w:val="20"/>
        </w:rPr>
      </w:pPr>
      <w:r w:rsidRPr="00057ECA">
        <w:rPr>
          <w:rFonts w:ascii="Arial" w:hAnsi="Arial" w:cs="Arial" w:hint="eastAsia"/>
          <w:sz w:val="20"/>
        </w:rPr>
        <w:t>T</w:t>
      </w:r>
      <w:r w:rsidRPr="00057ECA">
        <w:rPr>
          <w:rFonts w:ascii="Arial" w:hAnsi="Arial" w:cs="Arial"/>
          <w:sz w:val="20"/>
        </w:rPr>
        <w:t xml:space="preserve">his contribution mainly </w:t>
      </w:r>
      <w:r w:rsidRPr="00057ECA">
        <w:rPr>
          <w:rFonts w:ascii="Arial" w:eastAsia="宋体" w:hAnsi="Arial" w:cs="Arial"/>
          <w:sz w:val="20"/>
          <w:lang w:val="en-GB"/>
        </w:rPr>
        <w:t>presents</w:t>
      </w:r>
      <w:r w:rsidRPr="00057ECA">
        <w:rPr>
          <w:rFonts w:ascii="Arial" w:hAnsi="Arial" w:cs="Arial"/>
          <w:sz w:val="20"/>
        </w:rPr>
        <w:t xml:space="preserve"> the analysis on </w:t>
      </w:r>
      <w:r w:rsidR="00B12A0C">
        <w:rPr>
          <w:rFonts w:ascii="Arial" w:hAnsi="Arial" w:cs="Arial"/>
          <w:sz w:val="20"/>
        </w:rPr>
        <w:t>simplification of working procedure</w:t>
      </w:r>
      <w:r w:rsidRPr="00057ECA">
        <w:rPr>
          <w:rFonts w:ascii="Arial" w:hAnsi="Arial" w:cs="Arial"/>
          <w:sz w:val="20"/>
        </w:rPr>
        <w:t xml:space="preserve">. The following proposals are provided: </w:t>
      </w:r>
    </w:p>
    <w:p w:rsidR="001127B1" w:rsidRPr="0074265A" w:rsidRDefault="001127B1" w:rsidP="001127B1">
      <w:pPr>
        <w:spacing w:before="80" w:after="80"/>
        <w:rPr>
          <w:rFonts w:ascii="Arial" w:hAnsi="Arial" w:cs="Arial"/>
          <w:b/>
          <w:sz w:val="20"/>
          <w:lang w:val="en-GB"/>
        </w:rPr>
      </w:pPr>
      <w:r w:rsidRPr="0074265A">
        <w:rPr>
          <w:rFonts w:ascii="Arial" w:hAnsi="Arial" w:cs="Arial" w:hint="eastAsia"/>
          <w:b/>
          <w:sz w:val="20"/>
        </w:rPr>
        <w:t>O</w:t>
      </w:r>
      <w:r w:rsidRPr="0074265A">
        <w:rPr>
          <w:rFonts w:ascii="Arial" w:hAnsi="Arial" w:cs="Arial"/>
          <w:b/>
          <w:sz w:val="20"/>
        </w:rPr>
        <w:t>bservation 1:</w:t>
      </w:r>
      <w:r>
        <w:rPr>
          <w:rFonts w:ascii="Arial" w:hAnsi="Arial" w:cs="Arial"/>
          <w:b/>
          <w:sz w:val="20"/>
        </w:rPr>
        <w:t xml:space="preserve"> </w:t>
      </w:r>
      <w:r w:rsidRPr="0074265A">
        <w:rPr>
          <w:rFonts w:ascii="Arial" w:hAnsi="Arial" w:cs="Arial"/>
          <w:b/>
          <w:sz w:val="20"/>
        </w:rPr>
        <w:t xml:space="preserve">The simplified approach and procedure to be agreed for normal CA/DC basket WI if any can be reused for V2X basket WI. Currently, the V2X sections specified in 38.101-1 and 38.101-3 should be updated based on the agreements captured in TR 38.862. It seems most of them are aligned with CA/DC </w:t>
      </w:r>
      <w:r>
        <w:rPr>
          <w:rFonts w:ascii="Arial" w:hAnsi="Arial" w:cs="Arial"/>
          <w:b/>
          <w:sz w:val="20"/>
        </w:rPr>
        <w:t xml:space="preserve">template </w:t>
      </w:r>
      <w:r w:rsidRPr="0074265A">
        <w:rPr>
          <w:rFonts w:ascii="Arial" w:hAnsi="Arial" w:cs="Arial"/>
          <w:b/>
          <w:sz w:val="20"/>
        </w:rPr>
        <w:t>until the latest version v17.6.0.</w:t>
      </w:r>
    </w:p>
    <w:p w:rsidR="001127B1" w:rsidRPr="001127B1" w:rsidRDefault="001127B1" w:rsidP="009066E3">
      <w:pPr>
        <w:spacing w:before="80" w:after="80"/>
        <w:rPr>
          <w:rFonts w:ascii="Arial" w:hAnsi="Arial" w:cs="Arial"/>
          <w:b/>
          <w:sz w:val="20"/>
          <w:lang w:val="en-GB"/>
        </w:rPr>
      </w:pPr>
      <w:r>
        <w:rPr>
          <w:rFonts w:ascii="Arial" w:hAnsi="Arial" w:cs="Arial" w:hint="eastAsia"/>
          <w:b/>
          <w:sz w:val="20"/>
        </w:rPr>
        <w:t>O</w:t>
      </w:r>
      <w:r>
        <w:rPr>
          <w:rFonts w:ascii="Arial" w:hAnsi="Arial" w:cs="Arial"/>
          <w:b/>
          <w:sz w:val="20"/>
        </w:rPr>
        <w:t>bservation 2</w:t>
      </w:r>
      <w:r w:rsidRPr="00336B18">
        <w:rPr>
          <w:rFonts w:ascii="Arial" w:hAnsi="Arial" w:cs="Arial"/>
          <w:b/>
          <w:sz w:val="20"/>
        </w:rPr>
        <w:t xml:space="preserve">: </w:t>
      </w:r>
      <w:r w:rsidRPr="006E733D">
        <w:rPr>
          <w:rFonts w:ascii="Arial" w:eastAsia="宋体" w:hAnsi="Arial" w:cs="Arial"/>
          <w:b/>
          <w:sz w:val="20"/>
          <w:lang w:val="en-GB"/>
        </w:rPr>
        <w:t xml:space="preserve">TP prepared by some companies do not use the latest templates of bandwidth table captured in the latest spec that would include the newly added channel bandwidth. It will cause redundant work of spec format adjustment for rapporteur when drafting big CR. So it is </w:t>
      </w:r>
      <w:r>
        <w:rPr>
          <w:rFonts w:ascii="Arial" w:eastAsia="宋体" w:hAnsi="Arial" w:cs="Arial"/>
          <w:b/>
          <w:sz w:val="20"/>
          <w:lang w:val="en-GB"/>
        </w:rPr>
        <w:t>expected</w:t>
      </w:r>
      <w:r w:rsidRPr="006E733D">
        <w:rPr>
          <w:rFonts w:ascii="Arial" w:eastAsia="宋体" w:hAnsi="Arial" w:cs="Arial"/>
          <w:b/>
          <w:sz w:val="20"/>
          <w:lang w:val="en-GB"/>
        </w:rPr>
        <w:t xml:space="preserve"> the TP author could use the latest template of bandwidth table as the latest spec.</w:t>
      </w:r>
    </w:p>
    <w:p w:rsidR="009066E3" w:rsidRPr="006A3052" w:rsidRDefault="009066E3" w:rsidP="009066E3">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6A3052">
        <w:rPr>
          <w:rFonts w:ascii="Arial" w:eastAsia="宋体" w:hAnsi="Arial" w:cs="Arial"/>
          <w:kern w:val="0"/>
          <w:sz w:val="32"/>
          <w:szCs w:val="20"/>
          <w:lang w:val="en-GB"/>
        </w:rPr>
        <w:t>Reference</w:t>
      </w:r>
    </w:p>
    <w:p w:rsidR="009066E3" w:rsidRDefault="00522213" w:rsidP="00522213">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sz w:val="20"/>
          <w:szCs w:val="20"/>
          <w:lang w:val="en-GB"/>
        </w:rPr>
        <w:t xml:space="preserve">RP-221790, </w:t>
      </w:r>
      <w:r w:rsidRPr="00522213">
        <w:rPr>
          <w:rFonts w:ascii="Arial" w:eastAsia="宋体" w:hAnsi="Arial" w:cs="Arial"/>
          <w:sz w:val="20"/>
          <w:szCs w:val="20"/>
          <w:lang w:val="en-GB"/>
        </w:rPr>
        <w:t>Revised SID for Study on simplification of band combination specification for NR and LTE</w:t>
      </w:r>
      <w:r w:rsidR="009066E3" w:rsidRPr="006A3052">
        <w:rPr>
          <w:rFonts w:ascii="Arial" w:eastAsia="宋体" w:hAnsi="Arial" w:cs="Arial"/>
          <w:sz w:val="20"/>
          <w:szCs w:val="20"/>
          <w:lang w:val="en-GB"/>
        </w:rPr>
        <w:t>, RAN#96-e</w:t>
      </w:r>
    </w:p>
    <w:p w:rsidR="00336B18" w:rsidRPr="000D636C" w:rsidRDefault="00522213" w:rsidP="000D636C">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hint="eastAsia"/>
          <w:sz w:val="20"/>
          <w:szCs w:val="20"/>
          <w:lang w:val="en-GB"/>
        </w:rPr>
        <w:t>T</w:t>
      </w:r>
      <w:r>
        <w:rPr>
          <w:rFonts w:ascii="Arial" w:eastAsia="宋体" w:hAnsi="Arial" w:cs="Arial"/>
          <w:sz w:val="20"/>
          <w:szCs w:val="20"/>
          <w:lang w:val="en-GB"/>
        </w:rPr>
        <w:t>R</w:t>
      </w:r>
      <w:r w:rsidR="009066E3">
        <w:rPr>
          <w:rFonts w:ascii="Arial" w:eastAsia="宋体" w:hAnsi="Arial" w:cs="Arial"/>
          <w:sz w:val="20"/>
          <w:szCs w:val="20"/>
          <w:lang w:val="en-GB"/>
        </w:rPr>
        <w:t xml:space="preserve"> 38.</w:t>
      </w:r>
      <w:r>
        <w:rPr>
          <w:rFonts w:ascii="Arial" w:eastAsia="宋体" w:hAnsi="Arial" w:cs="Arial"/>
          <w:sz w:val="20"/>
          <w:szCs w:val="20"/>
          <w:lang w:val="en-GB"/>
        </w:rPr>
        <w:t>862</w:t>
      </w:r>
      <w:r w:rsidR="009066E3">
        <w:rPr>
          <w:rFonts w:ascii="Arial" w:eastAsia="宋体" w:hAnsi="Arial" w:cs="Arial"/>
          <w:sz w:val="20"/>
          <w:szCs w:val="20"/>
          <w:lang w:val="en-GB"/>
        </w:rPr>
        <w:t>-1 v</w:t>
      </w:r>
      <w:r>
        <w:rPr>
          <w:rFonts w:ascii="Arial" w:eastAsia="宋体" w:hAnsi="Arial" w:cs="Arial"/>
          <w:sz w:val="20"/>
          <w:szCs w:val="20"/>
          <w:lang w:val="en-GB"/>
        </w:rPr>
        <w:t>17.1</w:t>
      </w:r>
      <w:r w:rsidR="009066E3">
        <w:rPr>
          <w:rFonts w:ascii="Arial" w:eastAsia="宋体" w:hAnsi="Arial" w:cs="Arial"/>
          <w:sz w:val="20"/>
          <w:szCs w:val="20"/>
          <w:lang w:val="en-GB"/>
        </w:rPr>
        <w:t xml:space="preserve">.0, </w:t>
      </w:r>
      <w:r w:rsidRPr="00522213">
        <w:rPr>
          <w:rFonts w:ascii="Arial" w:eastAsia="宋体" w:hAnsi="Arial" w:cs="Arial"/>
          <w:sz w:val="20"/>
          <w:szCs w:val="20"/>
          <w:lang w:val="en-GB"/>
        </w:rPr>
        <w:t>Study on band combination handling in RAN4</w:t>
      </w:r>
      <w:bookmarkEnd w:id="1"/>
    </w:p>
    <w:sectPr w:rsidR="00336B18" w:rsidRPr="000D636C" w:rsidSect="00336B18">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E9C" w:rsidRDefault="00715E9C" w:rsidP="009066E3">
      <w:r>
        <w:separator/>
      </w:r>
    </w:p>
  </w:endnote>
  <w:endnote w:type="continuationSeparator" w:id="0">
    <w:p w:rsidR="00715E9C" w:rsidRDefault="00715E9C" w:rsidP="0090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B18" w:rsidRDefault="00336B18" w:rsidP="00336B18">
    <w:pPr>
      <w:pStyle w:val="a3"/>
      <w:tabs>
        <w:tab w:val="right" w:pos="9639"/>
      </w:tabs>
      <w:spacing w:after="60"/>
      <w:ind w:left="1344"/>
    </w:pPr>
    <w:r>
      <w:t xml:space="preserve">Page </w:t>
    </w:r>
    <w:r>
      <w:fldChar w:fldCharType="begin"/>
    </w:r>
    <w:r>
      <w:instrText xml:space="preserve"> PAGE  \* MERGEFORMAT </w:instrText>
    </w:r>
    <w:r>
      <w:fldChar w:fldCharType="separate"/>
    </w:r>
    <w:r w:rsidR="00715E9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E9C" w:rsidRDefault="00715E9C" w:rsidP="009066E3">
      <w:r>
        <w:separator/>
      </w:r>
    </w:p>
  </w:footnote>
  <w:footnote w:type="continuationSeparator" w:id="0">
    <w:p w:rsidR="00715E9C" w:rsidRDefault="00715E9C" w:rsidP="0090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B18" w:rsidRDefault="00336B18" w:rsidP="00336B18">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817"/>
    <w:rsid w:val="000611A3"/>
    <w:rsid w:val="000A62A2"/>
    <w:rsid w:val="000D636C"/>
    <w:rsid w:val="000F4894"/>
    <w:rsid w:val="001127B1"/>
    <w:rsid w:val="00162E28"/>
    <w:rsid w:val="00176B38"/>
    <w:rsid w:val="0018207F"/>
    <w:rsid w:val="001A5EBD"/>
    <w:rsid w:val="001C0A6D"/>
    <w:rsid w:val="00280285"/>
    <w:rsid w:val="00285422"/>
    <w:rsid w:val="002F612A"/>
    <w:rsid w:val="00314F0F"/>
    <w:rsid w:val="00336B18"/>
    <w:rsid w:val="00343E85"/>
    <w:rsid w:val="003C25CD"/>
    <w:rsid w:val="0041364D"/>
    <w:rsid w:val="00443E08"/>
    <w:rsid w:val="00451D0F"/>
    <w:rsid w:val="00454CDA"/>
    <w:rsid w:val="0045500A"/>
    <w:rsid w:val="00500DF5"/>
    <w:rsid w:val="00522213"/>
    <w:rsid w:val="005F1B03"/>
    <w:rsid w:val="005F2FBA"/>
    <w:rsid w:val="00672FC0"/>
    <w:rsid w:val="006C7036"/>
    <w:rsid w:val="006E133E"/>
    <w:rsid w:val="006E733D"/>
    <w:rsid w:val="00715E9C"/>
    <w:rsid w:val="0074265A"/>
    <w:rsid w:val="00742E72"/>
    <w:rsid w:val="007F6A2A"/>
    <w:rsid w:val="00803788"/>
    <w:rsid w:val="00806040"/>
    <w:rsid w:val="008B6817"/>
    <w:rsid w:val="009066E3"/>
    <w:rsid w:val="00991129"/>
    <w:rsid w:val="00A61132"/>
    <w:rsid w:val="00A97A0B"/>
    <w:rsid w:val="00AB2A9C"/>
    <w:rsid w:val="00B12A0C"/>
    <w:rsid w:val="00B45AF7"/>
    <w:rsid w:val="00B5760E"/>
    <w:rsid w:val="00C0656E"/>
    <w:rsid w:val="00C44170"/>
    <w:rsid w:val="00C542C3"/>
    <w:rsid w:val="00C77EFD"/>
    <w:rsid w:val="00D0344F"/>
    <w:rsid w:val="00D133B1"/>
    <w:rsid w:val="00D177BB"/>
    <w:rsid w:val="00D23DD1"/>
    <w:rsid w:val="00E06923"/>
    <w:rsid w:val="00E5771D"/>
    <w:rsid w:val="00E90A1B"/>
    <w:rsid w:val="00ED43EE"/>
    <w:rsid w:val="00F21F5F"/>
    <w:rsid w:val="00F377F3"/>
    <w:rsid w:val="00FA4548"/>
    <w:rsid w:val="00FD0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EA22D1"/>
  <w15:chartTrackingRefBased/>
  <w15:docId w15:val="{DE801746-7CB6-4505-9A29-B18095212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E3"/>
    <w:pPr>
      <w:widowControl w:val="0"/>
      <w:jc w:val="both"/>
    </w:pPr>
  </w:style>
  <w:style w:type="paragraph" w:styleId="1">
    <w:name w:val="heading 1"/>
    <w:basedOn w:val="a"/>
    <w:next w:val="a"/>
    <w:link w:val="10"/>
    <w:uiPriority w:val="9"/>
    <w:qFormat/>
    <w:rsid w:val="009066E3"/>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9066E3"/>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066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066E3"/>
    <w:rPr>
      <w:sz w:val="18"/>
      <w:szCs w:val="18"/>
    </w:rPr>
  </w:style>
  <w:style w:type="paragraph" w:styleId="a5">
    <w:name w:val="footer"/>
    <w:basedOn w:val="a"/>
    <w:link w:val="a6"/>
    <w:uiPriority w:val="99"/>
    <w:unhideWhenUsed/>
    <w:rsid w:val="009066E3"/>
    <w:pPr>
      <w:tabs>
        <w:tab w:val="center" w:pos="4153"/>
        <w:tab w:val="right" w:pos="8306"/>
      </w:tabs>
      <w:snapToGrid w:val="0"/>
      <w:jc w:val="left"/>
    </w:pPr>
    <w:rPr>
      <w:sz w:val="18"/>
      <w:szCs w:val="18"/>
    </w:rPr>
  </w:style>
  <w:style w:type="character" w:customStyle="1" w:styleId="a6">
    <w:name w:val="页脚 字符"/>
    <w:basedOn w:val="a0"/>
    <w:link w:val="a5"/>
    <w:uiPriority w:val="99"/>
    <w:rsid w:val="009066E3"/>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9066E3"/>
    <w:rPr>
      <w:rFonts w:ascii="Arial" w:eastAsia="宋体" w:hAnsi="Arial" w:cs="Times New Roman"/>
      <w:kern w:val="0"/>
      <w:sz w:val="28"/>
      <w:szCs w:val="20"/>
      <w:lang w:val="en-GB"/>
    </w:rPr>
  </w:style>
  <w:style w:type="paragraph" w:customStyle="1" w:styleId="TAH">
    <w:name w:val="TAH"/>
    <w:basedOn w:val="a"/>
    <w:link w:val="TAHCar"/>
    <w:qFormat/>
    <w:rsid w:val="009066E3"/>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9066E3"/>
    <w:rPr>
      <w:rFonts w:ascii="Arial" w:hAnsi="Arial" w:cs="Times New Roman"/>
      <w:b/>
      <w:kern w:val="0"/>
      <w:sz w:val="18"/>
      <w:szCs w:val="20"/>
      <w:lang w:val="en-GB" w:eastAsia="en-US"/>
    </w:rPr>
  </w:style>
  <w:style w:type="paragraph" w:customStyle="1" w:styleId="TAL">
    <w:name w:val="TAL"/>
    <w:basedOn w:val="a"/>
    <w:link w:val="TALCar"/>
    <w:qFormat/>
    <w:rsid w:val="009066E3"/>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9066E3"/>
    <w:pPr>
      <w:jc w:val="center"/>
    </w:pPr>
  </w:style>
  <w:style w:type="paragraph" w:customStyle="1" w:styleId="TH">
    <w:name w:val="TH"/>
    <w:basedOn w:val="a"/>
    <w:link w:val="THChar"/>
    <w:qFormat/>
    <w:rsid w:val="009066E3"/>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9066E3"/>
    <w:pPr>
      <w:jc w:val="right"/>
    </w:pPr>
  </w:style>
  <w:style w:type="character" w:customStyle="1" w:styleId="THChar">
    <w:name w:val="TH Char"/>
    <w:link w:val="TH"/>
    <w:qFormat/>
    <w:rsid w:val="009066E3"/>
    <w:rPr>
      <w:rFonts w:ascii="Arial" w:eastAsia="宋体" w:hAnsi="Arial" w:cs="Times New Roman"/>
      <w:b/>
      <w:kern w:val="0"/>
      <w:sz w:val="20"/>
      <w:szCs w:val="20"/>
      <w:lang w:val="en-GB" w:eastAsia="en-US"/>
    </w:rPr>
  </w:style>
  <w:style w:type="character" w:customStyle="1" w:styleId="TACChar">
    <w:name w:val="TAC Char"/>
    <w:link w:val="TAC"/>
    <w:qFormat/>
    <w:rsid w:val="009066E3"/>
    <w:rPr>
      <w:rFonts w:ascii="Arial" w:eastAsia="宋体" w:hAnsi="Arial" w:cs="Times New Roman"/>
      <w:kern w:val="0"/>
      <w:sz w:val="18"/>
      <w:szCs w:val="20"/>
      <w:lang w:val="en-GB" w:eastAsia="en-US"/>
    </w:rPr>
  </w:style>
  <w:style w:type="character" w:customStyle="1" w:styleId="TALCar">
    <w:name w:val="TAL Car"/>
    <w:link w:val="TAL"/>
    <w:qFormat/>
    <w:rsid w:val="009066E3"/>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9066E3"/>
    <w:rPr>
      <w:b/>
      <w:bCs/>
      <w:kern w:val="44"/>
      <w:sz w:val="44"/>
      <w:szCs w:val="44"/>
    </w:rPr>
  </w:style>
  <w:style w:type="paragraph" w:customStyle="1" w:styleId="TF">
    <w:name w:val="TF"/>
    <w:basedOn w:val="TH"/>
    <w:link w:val="TFChar"/>
    <w:rsid w:val="00F377F3"/>
    <w:pPr>
      <w:keepNext w:val="0"/>
      <w:overflowPunct/>
      <w:autoSpaceDE/>
      <w:autoSpaceDN/>
      <w:adjustRightInd/>
      <w:spacing w:before="0" w:after="240"/>
      <w:textAlignment w:val="auto"/>
    </w:pPr>
    <w:rPr>
      <w:rFonts w:eastAsiaTheme="minorEastAsia"/>
    </w:rPr>
  </w:style>
  <w:style w:type="character" w:customStyle="1" w:styleId="TFChar">
    <w:name w:val="TF Char"/>
    <w:link w:val="TF"/>
    <w:rsid w:val="00F377F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8C161-F8C7-4A6F-A004-50CC243AA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591</Words>
  <Characters>3369</Characters>
  <Application>Microsoft Office Word</Application>
  <DocSecurity>0</DocSecurity>
  <Lines>28</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gaoyuan23</cp:lastModifiedBy>
  <cp:revision>54</cp:revision>
  <dcterms:created xsi:type="dcterms:W3CDTF">2022-08-03T01:54:00Z</dcterms:created>
  <dcterms:modified xsi:type="dcterms:W3CDTF">2022-08-10T10:24:00Z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e34ee5c618a471596e86c4fbfbc744c">
    <vt:lpwstr>CWMH46aYvX/B65IQKb+neeu92aFEROY4qUsYIEUP/i48lvjXxdFggwSoJSADQnHT1vP41iglAk3xjDT8UtxObVheA==</vt:lpwstr>
  </property>
</Properties>
</file>